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AC" w:rsidRPr="002C7833" w:rsidRDefault="00E5066B" w:rsidP="008976E4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C7833"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Методичні рекомендації щодо підвищення кваліфікації та ефективної </w:t>
      </w:r>
      <w:r w:rsidR="003E184D" w:rsidRPr="002C7833">
        <w:rPr>
          <w:rFonts w:ascii="Times New Roman" w:hAnsi="Times New Roman" w:cs="Times New Roman"/>
          <w:b/>
          <w:sz w:val="32"/>
          <w:szCs w:val="28"/>
          <w:lang w:val="uk-UA"/>
        </w:rPr>
        <w:t>роботи педагога в між</w:t>
      </w:r>
      <w:r w:rsidRPr="002C7833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курсовий </w:t>
      </w:r>
      <w:r w:rsidR="005B16AC" w:rsidRPr="002C7833">
        <w:rPr>
          <w:rFonts w:ascii="Times New Roman" w:hAnsi="Times New Roman" w:cs="Times New Roman"/>
          <w:b/>
          <w:sz w:val="32"/>
          <w:szCs w:val="28"/>
          <w:lang w:val="uk-UA"/>
        </w:rPr>
        <w:t>період</w:t>
      </w:r>
    </w:p>
    <w:p w:rsidR="00D326DB" w:rsidRPr="00D326DB" w:rsidRDefault="00D326DB" w:rsidP="00D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611" w:rsidRPr="00D326DB" w:rsidRDefault="008976E4" w:rsidP="002C783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F6611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В умовах реформування національної системи освіти в Україні винятково </w:t>
      </w:r>
      <w:r w:rsidR="00171A80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87F59" w:rsidRPr="00D326DB" w:rsidRDefault="00587F59" w:rsidP="002C783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важливого значення набуває систематична робота з підвищення кваліфікації   </w:t>
      </w:r>
    </w:p>
    <w:p w:rsidR="00587F59" w:rsidRPr="00D326DB" w:rsidRDefault="00D326DB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 w:rsidR="00587F59" w:rsidRPr="00D326DB">
        <w:rPr>
          <w:rFonts w:ascii="Times New Roman" w:hAnsi="Times New Roman" w:cs="Times New Roman"/>
          <w:sz w:val="28"/>
          <w:szCs w:val="28"/>
          <w:lang w:val="uk-UA"/>
        </w:rPr>
        <w:t>працівників післядипломної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F59" w:rsidRPr="00D326DB">
        <w:rPr>
          <w:rFonts w:ascii="Times New Roman" w:hAnsi="Times New Roman" w:cs="Times New Roman"/>
          <w:sz w:val="28"/>
          <w:szCs w:val="28"/>
          <w:lang w:val="uk-UA"/>
        </w:rPr>
        <w:t>Курсова підготовка – одна із основних форм підвищення кваліфікації керівних та педагогічних кадрів.</w:t>
      </w:r>
    </w:p>
    <w:p w:rsidR="00F85602" w:rsidRPr="00D326DB" w:rsidRDefault="00587F59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закону України «Про освіту»</w:t>
      </w:r>
      <w:r w:rsidR="00B138F4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забезпечення 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      безперерв</w:t>
      </w:r>
      <w:r w:rsidR="00F85602" w:rsidRPr="00D326D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138F4" w:rsidRPr="00D326DB">
        <w:rPr>
          <w:rFonts w:ascii="Times New Roman" w:hAnsi="Times New Roman" w:cs="Times New Roman"/>
          <w:sz w:val="28"/>
          <w:szCs w:val="28"/>
          <w:lang w:val="uk-UA"/>
        </w:rPr>
        <w:t>ої освіти педагогічних</w:t>
      </w:r>
      <w:r w:rsidR="00F85602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602" w:rsidRPr="00D326DB">
        <w:rPr>
          <w:rFonts w:ascii="Times New Roman" w:hAnsi="Times New Roman" w:cs="Times New Roman"/>
          <w:sz w:val="28"/>
          <w:szCs w:val="28"/>
          <w:lang w:val="uk-UA"/>
        </w:rPr>
        <w:t>підвищення ї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>х фахового, освітнього та загаль</w:t>
      </w:r>
      <w:r w:rsidR="00F85602" w:rsidRPr="00D326DB">
        <w:rPr>
          <w:rFonts w:ascii="Times New Roman" w:hAnsi="Times New Roman" w:cs="Times New Roman"/>
          <w:sz w:val="28"/>
          <w:szCs w:val="28"/>
          <w:lang w:val="uk-UA"/>
        </w:rPr>
        <w:t>нокультурного рівня  Департамент освіти,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602" w:rsidRPr="00D326DB">
        <w:rPr>
          <w:rFonts w:ascii="Times New Roman" w:hAnsi="Times New Roman" w:cs="Times New Roman"/>
          <w:sz w:val="28"/>
          <w:szCs w:val="28"/>
          <w:lang w:val="uk-UA"/>
        </w:rPr>
        <w:t>міський методичний кабінет здійснює курсову та семінарську підготовку педагогічних пра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>цівників загальноосвітніх навча</w:t>
      </w:r>
      <w:r w:rsidR="00F85602" w:rsidRPr="00D326DB">
        <w:rPr>
          <w:rFonts w:ascii="Times New Roman" w:hAnsi="Times New Roman" w:cs="Times New Roman"/>
          <w:sz w:val="28"/>
          <w:szCs w:val="28"/>
          <w:lang w:val="uk-UA"/>
        </w:rPr>
        <w:t>льних закладів міста.</w:t>
      </w:r>
    </w:p>
    <w:p w:rsidR="00F85602" w:rsidRPr="00D326DB" w:rsidRDefault="00F85602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 Міський методичний кабінет рекомендує  загальноосвітнім навчальним закладам</w:t>
      </w:r>
      <w:r w:rsidR="00D13B6A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створення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алгоритм</w:t>
      </w:r>
      <w:r w:rsidR="00D13B6A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роботи педагогів в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період,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розрахований на 5 років.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Тому робота методичної служби щодо відстеження результативності</w:t>
      </w:r>
      <w:r w:rsidR="00A43719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курсової підготовки</w:t>
      </w:r>
      <w:r w:rsidR="00D13B6A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ефективності роботи в </w:t>
      </w:r>
      <w:proofErr w:type="spellStart"/>
      <w:r w:rsidR="00D13B6A" w:rsidRPr="00D326DB"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 w:rsidR="00D13B6A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період є актуальною.</w:t>
      </w:r>
    </w:p>
    <w:p w:rsidR="00AC5279" w:rsidRPr="00D326DB" w:rsidRDefault="00AC5279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Вирішити ці проблеми методична служба міста може,створивши алгоритм ефективної роботи педагога в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період,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розробивши інструментарій відстеження результативності курсової підготовки педкадрів.</w:t>
      </w:r>
    </w:p>
    <w:p w:rsidR="00AC5279" w:rsidRPr="00D326DB" w:rsidRDefault="00AC5279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Алгоритм ефективної роботи педагога в </w:t>
      </w:r>
      <w:proofErr w:type="spellStart"/>
      <w:r w:rsidR="003E184D" w:rsidRPr="00D326DB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курсовий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період розрахований на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п’</w:t>
      </w:r>
      <w:proofErr w:type="spellEnd"/>
      <w:r w:rsidRPr="00D326DB">
        <w:rPr>
          <w:rFonts w:ascii="Times New Roman" w:hAnsi="Times New Roman" w:cs="Times New Roman"/>
          <w:sz w:val="28"/>
          <w:szCs w:val="28"/>
        </w:rPr>
        <w:t xml:space="preserve">ять </w:t>
      </w:r>
      <w:proofErr w:type="spellStart"/>
      <w:r w:rsidRPr="00D326D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6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6D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3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6DB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D3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6D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D326DB">
        <w:rPr>
          <w:rFonts w:ascii="Times New Roman" w:hAnsi="Times New Roman" w:cs="Times New Roman"/>
          <w:sz w:val="28"/>
          <w:szCs w:val="28"/>
        </w:rPr>
        <w:t>.</w:t>
      </w:r>
    </w:p>
    <w:p w:rsidR="001050D2" w:rsidRPr="00D326DB" w:rsidRDefault="001050D2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326DB">
        <w:rPr>
          <w:rFonts w:ascii="Times New Roman" w:hAnsi="Times New Roman" w:cs="Times New Roman"/>
          <w:b/>
          <w:sz w:val="28"/>
          <w:szCs w:val="28"/>
          <w:lang w:val="uk-UA"/>
        </w:rPr>
        <w:t>На першому етапі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педагог разом з керуючим заступником директора,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керівником методичного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об’єднання підбирає проблему,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над якою працюватиме,визначає мету та свої завдання,обирає тему курсової підготовки,з’ясовує час та термін курсової підготовки.</w:t>
      </w:r>
    </w:p>
    <w:p w:rsidR="00616B8B" w:rsidRPr="00D326DB" w:rsidRDefault="00653FC2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326DB">
        <w:rPr>
          <w:rFonts w:ascii="Times New Roman" w:hAnsi="Times New Roman" w:cs="Times New Roman"/>
          <w:b/>
          <w:sz w:val="28"/>
          <w:szCs w:val="28"/>
          <w:lang w:val="uk-UA"/>
        </w:rPr>
        <w:t>Другий етап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вироблення плану дій педагога (протягом п’яти років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перспективне планування й поточне планування – план </w:t>
      </w:r>
      <w:r w:rsidR="00616B8B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дій педагога на 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найближ</w:t>
      </w:r>
      <w:r w:rsidR="00616B8B" w:rsidRPr="00D326DB">
        <w:rPr>
          <w:rFonts w:ascii="Times New Roman" w:hAnsi="Times New Roman" w:cs="Times New Roman"/>
          <w:sz w:val="28"/>
          <w:szCs w:val="28"/>
          <w:lang w:val="uk-UA"/>
        </w:rPr>
        <w:t>чий рік).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B8B" w:rsidRPr="00D326DB">
        <w:rPr>
          <w:rFonts w:ascii="Times New Roman" w:hAnsi="Times New Roman" w:cs="Times New Roman"/>
          <w:sz w:val="28"/>
          <w:szCs w:val="28"/>
          <w:lang w:val="uk-UA"/>
        </w:rPr>
        <w:t>Він вибирає джерела,засоби збору інформації,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B8B" w:rsidRPr="00D326DB">
        <w:rPr>
          <w:rFonts w:ascii="Times New Roman" w:hAnsi="Times New Roman" w:cs="Times New Roman"/>
          <w:sz w:val="28"/>
          <w:szCs w:val="28"/>
          <w:lang w:val="uk-UA"/>
        </w:rPr>
        <w:t>методи її аналізу,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B8B" w:rsidRPr="00D326DB">
        <w:rPr>
          <w:rFonts w:ascii="Times New Roman" w:hAnsi="Times New Roman" w:cs="Times New Roman"/>
          <w:sz w:val="28"/>
          <w:szCs w:val="28"/>
          <w:lang w:val="uk-UA"/>
        </w:rPr>
        <w:t>визначає,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B8B" w:rsidRPr="00D326DB">
        <w:rPr>
          <w:rFonts w:ascii="Times New Roman" w:hAnsi="Times New Roman" w:cs="Times New Roman"/>
          <w:sz w:val="28"/>
          <w:szCs w:val="28"/>
          <w:lang w:val="uk-UA"/>
        </w:rPr>
        <w:t>деталізує очікуваний результат.</w:t>
      </w:r>
    </w:p>
    <w:p w:rsidR="00646556" w:rsidRPr="00D326DB" w:rsidRDefault="00616B8B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Третій етап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– дослідження: безпосередня робота педагога над проблемою.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Цей етап на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йтриваліший за часом і містить: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збирання інформації</w:t>
      </w:r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>аналіз її джерел,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>обмін досвідом (через відвідування відкритих уроків ма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>йстрів педагогічної справи, обго</w:t>
      </w:r>
      <w:r w:rsidR="005A1699" w:rsidRPr="00D326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>орення,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>виступи,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диспути </w:t>
      </w:r>
      <w:proofErr w:type="spellStart"/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>нарешті,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A93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на курсову підготовку до якої педагог 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>виру</w:t>
      </w:r>
      <w:r w:rsidR="005A1699" w:rsidRPr="00D326DB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46556" w:rsidRPr="00D326DB">
        <w:rPr>
          <w:rFonts w:ascii="Times New Roman" w:hAnsi="Times New Roman" w:cs="Times New Roman"/>
          <w:sz w:val="28"/>
          <w:szCs w:val="28"/>
          <w:lang w:val="uk-UA"/>
        </w:rPr>
        <w:t>ає озброєним інформацією,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556" w:rsidRPr="00D326DB">
        <w:rPr>
          <w:rFonts w:ascii="Times New Roman" w:hAnsi="Times New Roman" w:cs="Times New Roman"/>
          <w:sz w:val="28"/>
          <w:szCs w:val="28"/>
          <w:lang w:val="uk-UA"/>
        </w:rPr>
        <w:t>досвідом,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143" w:rsidRPr="00D326DB">
        <w:rPr>
          <w:rFonts w:ascii="Times New Roman" w:hAnsi="Times New Roman" w:cs="Times New Roman"/>
          <w:sz w:val="28"/>
          <w:szCs w:val="28"/>
          <w:lang w:val="uk-UA"/>
        </w:rPr>
        <w:t>щоб шліфувати,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143" w:rsidRPr="00D326DB">
        <w:rPr>
          <w:rFonts w:ascii="Times New Roman" w:hAnsi="Times New Roman" w:cs="Times New Roman"/>
          <w:sz w:val="28"/>
          <w:szCs w:val="28"/>
          <w:lang w:val="uk-UA"/>
        </w:rPr>
        <w:t>поповнювати набуті знання.</w:t>
      </w:r>
    </w:p>
    <w:p w:rsidR="00431143" w:rsidRPr="00D326DB" w:rsidRDefault="00431143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  Цей етап передбачає й «</w:t>
      </w:r>
      <w:proofErr w:type="spellStart"/>
      <w:r w:rsidR="001F6C51" w:rsidRPr="00D326DB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курсову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роботу» - аналіз,систематизацію 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   здобу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тої інформації.</w:t>
      </w:r>
    </w:p>
    <w:p w:rsidR="005A3D2C" w:rsidRPr="00D326DB" w:rsidRDefault="005A3D2C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Четвертий етап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практична діяльність.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Він передбачає застосування набутих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причому форми такої ді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>яльності можуть бути найрізнома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нітнішими:</w:t>
      </w:r>
    </w:p>
    <w:p w:rsidR="005A3D2C" w:rsidRPr="00D326DB" w:rsidRDefault="005A3D2C" w:rsidP="002C7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корекція річних планів педагога з огляду на реалізацію досліджуваної 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про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блеми,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отриманих попередніх результатів;</w:t>
      </w:r>
    </w:p>
    <w:p w:rsidR="005A3D2C" w:rsidRPr="00D326DB" w:rsidRDefault="00D326DB" w:rsidP="002C7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 w:rsidR="005A3D2C" w:rsidRPr="00D326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D2C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систематизація досвіду на методичних </w:t>
      </w:r>
      <w:proofErr w:type="spellStart"/>
      <w:r w:rsidR="005A3D2C" w:rsidRPr="00D326DB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5A3D2C" w:rsidRPr="00D326DB">
        <w:rPr>
          <w:rFonts w:ascii="Times New Roman" w:hAnsi="Times New Roman" w:cs="Times New Roman"/>
          <w:sz w:val="28"/>
          <w:szCs w:val="28"/>
        </w:rPr>
        <w:t>єднаннях</w:t>
      </w:r>
      <w:proofErr w:type="spellEnd"/>
      <w:r w:rsidR="005A3D2C" w:rsidRPr="00D32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6E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8976E4">
        <w:rPr>
          <w:rFonts w:ascii="Times New Roman" w:hAnsi="Times New Roman" w:cs="Times New Roman"/>
          <w:sz w:val="28"/>
          <w:szCs w:val="28"/>
        </w:rPr>
        <w:t>педра</w:t>
      </w:r>
      <w:r w:rsidR="005A3D2C" w:rsidRPr="00D326DB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5A3D2C" w:rsidRPr="00D326DB">
        <w:rPr>
          <w:rFonts w:ascii="Times New Roman" w:hAnsi="Times New Roman" w:cs="Times New Roman"/>
          <w:sz w:val="28"/>
          <w:szCs w:val="28"/>
        </w:rPr>
        <w:t>;</w:t>
      </w:r>
    </w:p>
    <w:p w:rsidR="005A3D2C" w:rsidRPr="00D326DB" w:rsidRDefault="005A3D2C" w:rsidP="002C7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демонстрація набутих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через систему відкритих уроків,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участь у конкурсах,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навчальних семінарах ( міських,обласних),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робота в творчих групах (теж різних рівнів);</w:t>
      </w:r>
    </w:p>
    <w:p w:rsidR="005A3D2C" w:rsidRPr="00D326DB" w:rsidRDefault="005A3D2C" w:rsidP="002C7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видання друкованих матеріалів у професійних журналах,</w:t>
      </w:r>
      <w:r w:rsid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збірках;</w:t>
      </w:r>
    </w:p>
    <w:p w:rsidR="005A3D2C" w:rsidRPr="00D326DB" w:rsidRDefault="005A3D2C" w:rsidP="002C7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аналіз досягнень учнів у контексті</w:t>
      </w:r>
      <w:r w:rsidR="009D0872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досліджуваної проблеми.</w:t>
      </w:r>
    </w:p>
    <w:p w:rsidR="002C7833" w:rsidRDefault="009D0872" w:rsidP="002C7833">
      <w:pPr>
        <w:spacing w:after="0"/>
        <w:ind w:left="13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b/>
          <w:sz w:val="28"/>
          <w:szCs w:val="28"/>
          <w:lang w:val="uk-UA"/>
        </w:rPr>
        <w:t>П’ятий етап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– завершення роботи над проблемою й перехід </w:t>
      </w:r>
      <w:r w:rsidR="002C7833">
        <w:rPr>
          <w:rFonts w:ascii="Times New Roman" w:hAnsi="Times New Roman" w:cs="Times New Roman"/>
          <w:sz w:val="28"/>
          <w:szCs w:val="28"/>
          <w:lang w:val="uk-UA"/>
        </w:rPr>
        <w:t>на якісніший</w:t>
      </w:r>
    </w:p>
    <w:p w:rsidR="007A406A" w:rsidRPr="00D326DB" w:rsidRDefault="00605DC4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A406A" w:rsidRPr="00D326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Він передбача</w:t>
      </w:r>
      <w:r w:rsidR="007A406A" w:rsidRPr="00D326DB">
        <w:rPr>
          <w:rFonts w:ascii="Times New Roman" w:hAnsi="Times New Roman" w:cs="Times New Roman"/>
          <w:sz w:val="28"/>
          <w:szCs w:val="28"/>
          <w:lang w:val="uk-UA"/>
        </w:rPr>
        <w:t>є самооцінку процесу і результатів дослідження,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висновки (сту</w:t>
      </w:r>
      <w:r w:rsidR="007A406A" w:rsidRPr="00D326DB">
        <w:rPr>
          <w:rFonts w:ascii="Times New Roman" w:hAnsi="Times New Roman" w:cs="Times New Roman"/>
          <w:sz w:val="28"/>
          <w:szCs w:val="28"/>
          <w:lang w:val="uk-UA"/>
        </w:rPr>
        <w:t>пінь реалізації мети і завдань педагога),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06A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оцінку </w:t>
      </w:r>
      <w:proofErr w:type="spellStart"/>
      <w:r w:rsidR="007A406A" w:rsidRPr="00D32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7A406A" w:rsidRPr="00D32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06A" w:rsidRPr="00D326DB">
        <w:rPr>
          <w:rFonts w:ascii="Times New Roman" w:hAnsi="Times New Roman" w:cs="Times New Roman"/>
          <w:sz w:val="28"/>
          <w:szCs w:val="28"/>
          <w:lang w:val="uk-UA"/>
        </w:rPr>
        <w:t>методиста ММК.</w:t>
      </w:r>
    </w:p>
    <w:p w:rsidR="007A406A" w:rsidRDefault="007A406A" w:rsidP="002C78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Так виглядатиме схема алгоритму ефективної роботи педагога «протягом 5 років» «від курсів – до курсів»:</w:t>
      </w:r>
    </w:p>
    <w:p w:rsidR="002C7833" w:rsidRDefault="002C7833" w:rsidP="002C7833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 xml:space="preserve">           </w:t>
      </w:r>
    </w:p>
    <w:p w:rsidR="002C7833" w:rsidRDefault="002C7833" w:rsidP="002C7833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 xml:space="preserve">               </w:t>
      </w:r>
      <w:r w:rsidR="00892AC6" w:rsidRPr="00892AC6">
        <w:rPr>
          <w:rFonts w:ascii="Times New Roman" w:hAnsi="Times New Roman" w:cs="Times New Roman"/>
          <w:b/>
          <w:i/>
          <w:sz w:val="32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9.75pt" fillcolor="#7f7f7f [1612]">
            <v:shadow color="#868686"/>
            <v:textpath style="font-family:&quot;Arial Black&quot;" fitshape="t" trim="t" string="Робота в міжкурсовий період"/>
          </v:shape>
        </w:pict>
      </w:r>
    </w:p>
    <w:p w:rsidR="002C7833" w:rsidRDefault="00892AC6" w:rsidP="002C7833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62.95pt;margin-top:30.25pt;width:90.75pt;height:26.25pt;z-index:-251638784" strokecolor="white [3212]">
            <v:textbox style="mso-next-textbox:#_x0000_s1055">
              <w:txbxContent>
                <w:p w:rsidR="002C7833" w:rsidRPr="009656DF" w:rsidRDefault="002C7833" w:rsidP="002C783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9656DF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Підготовка</w:t>
                  </w:r>
                </w:p>
              </w:txbxContent>
            </v:textbox>
          </v:shape>
        </w:pict>
      </w: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8" type="#_x0000_t105" style="position:absolute;left:0;text-align:left;margin-left:243.45pt;margin-top:4pt;width:132.75pt;height:32.25pt;z-index:251670528">
            <v:textbox style="mso-next-textbox:#_x0000_s1048">
              <w:txbxContent>
                <w:p w:rsidR="002C7833" w:rsidRDefault="002C7833" w:rsidP="002C7833">
                  <w:pPr>
                    <w:rPr>
                      <w:lang w:val="uk-UA"/>
                    </w:rPr>
                  </w:pPr>
                </w:p>
                <w:p w:rsidR="002C7833" w:rsidRDefault="002C7833" w:rsidP="002C783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Підготовка</w:t>
                  </w:r>
                </w:p>
                <w:p w:rsidR="002C7833" w:rsidRPr="00BA791D" w:rsidRDefault="002C7833" w:rsidP="002C7833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2C7833" w:rsidRPr="00BA791D" w:rsidRDefault="002C7833" w:rsidP="002C7833">
      <w:pPr>
        <w:rPr>
          <w:rFonts w:ascii="Times New Roman" w:hAnsi="Times New Roman" w:cs="Times New Roman"/>
          <w:b/>
          <w:i/>
          <w:sz w:val="4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 xml:space="preserve">                                            </w:t>
      </w:r>
    </w:p>
    <w:p w:rsidR="002C7833" w:rsidRPr="009656DF" w:rsidRDefault="00892AC6" w:rsidP="002C7833">
      <w:pPr>
        <w:tabs>
          <w:tab w:val="center" w:pos="4678"/>
        </w:tabs>
        <w:rPr>
          <w:rFonts w:ascii="Times New Roman" w:hAnsi="Times New Roman" w:cs="Times New Roman"/>
          <w:b/>
          <w:sz w:val="28"/>
          <w:lang w:val="uk-UA"/>
        </w:rPr>
      </w:pP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shape id="_x0000_s1050" type="#_x0000_t105" style="position:absolute;margin-left:48.15pt;margin-top:55.45pt;width:132.75pt;height:32.25pt;rotation:-5513659fd;z-index:251672576"/>
        </w:pict>
      </w: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oval id="_x0000_s1047" style="position:absolute;margin-left:201.45pt;margin-top:18.65pt;width:194.25pt;height:111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7">
              <w:txbxContent>
                <w:p w:rsidR="002C7833" w:rsidRPr="000707D7" w:rsidRDefault="002C7833" w:rsidP="002C7833">
                  <w:pPr>
                    <w:jc w:val="center"/>
                    <w:rPr>
                      <w:rFonts w:ascii="Times New Roman" w:hAnsi="Times New Roman" w:cs="Times New Roman"/>
                      <w:sz w:val="2"/>
                      <w:lang w:val="uk-UA"/>
                    </w:rPr>
                  </w:pPr>
                </w:p>
                <w:p w:rsidR="002C7833" w:rsidRPr="00BA791D" w:rsidRDefault="002C7833" w:rsidP="002C7833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lang w:val="uk-UA"/>
                    </w:rPr>
                    <w:t xml:space="preserve">  </w:t>
                  </w:r>
                </w:p>
                <w:p w:rsidR="002C7833" w:rsidRPr="000707D7" w:rsidRDefault="002C7833" w:rsidP="002C7833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lang w:val="uk-UA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sz w:val="56"/>
                      <w:lang w:val="uk-UA"/>
                    </w:rPr>
                    <w:t>КУРСИ</w:t>
                  </w:r>
                </w:p>
              </w:txbxContent>
            </v:textbox>
          </v:oval>
        </w:pict>
      </w: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shape id="_x0000_s1054" type="#_x0000_t202" style="position:absolute;margin-left:438.15pt;margin-top:26.95pt;width:35.25pt;height:111pt;z-index:-251639808" strokecolor="white [3212]">
            <v:textbox style="layout-flow:vertical;mso-next-textbox:#_x0000_s1054">
              <w:txbxContent>
                <w:p w:rsidR="002C7833" w:rsidRPr="006B0D44" w:rsidRDefault="002C7833" w:rsidP="002C783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6B0D44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Планування</w:t>
                  </w:r>
                </w:p>
              </w:txbxContent>
            </v:textbox>
          </v:shape>
        </w:pict>
      </w: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shape id="_x0000_s1051" type="#_x0000_t105" style="position:absolute;margin-left:419.4pt;margin-top:62.95pt;width:132.75pt;height:32.25pt;rotation:5641279fd;z-index:251673600"/>
        </w:pict>
      </w:r>
      <w:r w:rsidR="002C7833">
        <w:rPr>
          <w:rFonts w:ascii="Times New Roman" w:hAnsi="Times New Roman" w:cs="Times New Roman"/>
          <w:b/>
          <w:i/>
          <w:sz w:val="32"/>
          <w:lang w:val="uk-UA"/>
        </w:rPr>
        <w:t xml:space="preserve">                                              </w:t>
      </w:r>
      <w:r w:rsidR="002C7833">
        <w:rPr>
          <w:rFonts w:ascii="Times New Roman" w:hAnsi="Times New Roman" w:cs="Times New Roman"/>
          <w:b/>
          <w:i/>
          <w:sz w:val="32"/>
          <w:lang w:val="uk-UA"/>
        </w:rPr>
        <w:tab/>
      </w:r>
    </w:p>
    <w:p w:rsidR="002C7833" w:rsidRDefault="00892AC6" w:rsidP="002C7833">
      <w:pPr>
        <w:rPr>
          <w:rFonts w:ascii="Times New Roman" w:hAnsi="Times New Roman" w:cs="Times New Roman"/>
          <w:sz w:val="32"/>
          <w:lang w:val="uk-UA"/>
        </w:rPr>
      </w:pP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shape id="_x0000_s1053" type="#_x0000_t202" style="position:absolute;margin-left:122.7pt;margin-top:3.75pt;width:48.75pt;height:92.25pt;z-index:-251640832" strokecolor="white [3212]">
            <v:textbox style="layout-flow:vertical;mso-layout-flow-alt:bottom-to-top;mso-next-textbox:#_x0000_s1053">
              <w:txbxContent>
                <w:p w:rsidR="002C7833" w:rsidRPr="006B0D44" w:rsidRDefault="002C7833" w:rsidP="002C783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6B0D44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Завершення роботи</w:t>
                  </w:r>
                </w:p>
              </w:txbxContent>
            </v:textbox>
          </v:shape>
        </w:pict>
      </w:r>
    </w:p>
    <w:p w:rsidR="002C7833" w:rsidRDefault="002C7833" w:rsidP="002C7833">
      <w:pPr>
        <w:tabs>
          <w:tab w:val="left" w:pos="1650"/>
        </w:tabs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</w:p>
    <w:p w:rsidR="002C7833" w:rsidRPr="006B0D44" w:rsidRDefault="002C7833" w:rsidP="002C7833">
      <w:pPr>
        <w:rPr>
          <w:rFonts w:ascii="Times New Roman" w:hAnsi="Times New Roman" w:cs="Times New Roman"/>
          <w:sz w:val="32"/>
          <w:lang w:val="uk-UA"/>
        </w:rPr>
      </w:pPr>
    </w:p>
    <w:p w:rsidR="002C7833" w:rsidRPr="006B0D44" w:rsidRDefault="002C7833" w:rsidP="002C7833">
      <w:pPr>
        <w:rPr>
          <w:rFonts w:ascii="Times New Roman" w:hAnsi="Times New Roman" w:cs="Times New Roman"/>
          <w:lang w:val="uk-UA"/>
        </w:rPr>
      </w:pPr>
    </w:p>
    <w:p w:rsidR="002C7833" w:rsidRPr="006B0D44" w:rsidRDefault="002C7833" w:rsidP="002C7833">
      <w:pPr>
        <w:rPr>
          <w:rFonts w:ascii="Times New Roman" w:hAnsi="Times New Roman" w:cs="Times New Roman"/>
          <w:sz w:val="2"/>
          <w:lang w:val="uk-UA"/>
        </w:rPr>
      </w:pPr>
    </w:p>
    <w:p w:rsidR="002C7833" w:rsidRPr="00D326DB" w:rsidRDefault="00892AC6" w:rsidP="00D326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AC6">
        <w:rPr>
          <w:rFonts w:ascii="Times New Roman" w:hAnsi="Times New Roman" w:cs="Times New Roman"/>
          <w:noProof/>
          <w:sz w:val="32"/>
        </w:rPr>
        <w:pict>
          <v:shape id="_x0000_s1057" type="#_x0000_t202" style="position:absolute;left:0;text-align:left;margin-left:176.7pt;margin-top:-.4pt;width:105pt;height:26.25pt;z-index:-251636736" strokecolor="white [3212]">
            <v:textbox style="mso-next-textbox:#_x0000_s1057">
              <w:txbxContent>
                <w:p w:rsidR="002C7833" w:rsidRPr="009656DF" w:rsidRDefault="002C7833" w:rsidP="002C783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Застосування</w:t>
                  </w:r>
                </w:p>
              </w:txbxContent>
            </v:textbox>
          </v:shape>
        </w:pict>
      </w:r>
      <w:r w:rsidRPr="00892AC6">
        <w:rPr>
          <w:rFonts w:ascii="Times New Roman" w:hAnsi="Times New Roman" w:cs="Times New Roman"/>
          <w:noProof/>
          <w:sz w:val="32"/>
        </w:rPr>
        <w:pict>
          <v:shape id="_x0000_s1056" type="#_x0000_t202" style="position:absolute;left:0;text-align:left;margin-left:327.45pt;margin-top:-.4pt;width:102pt;height:26.25pt;z-index:-251637760" strokecolor="white [3212]">
            <v:textbox style="mso-next-textbox:#_x0000_s1056">
              <w:txbxContent>
                <w:p w:rsidR="002C7833" w:rsidRPr="009656DF" w:rsidRDefault="002C7833" w:rsidP="002C7833">
                  <w:pP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Дослідження</w:t>
                  </w:r>
                </w:p>
              </w:txbxContent>
            </v:textbox>
          </v:shape>
        </w:pict>
      </w:r>
    </w:p>
    <w:p w:rsidR="009D0872" w:rsidRPr="00D326DB" w:rsidRDefault="00892AC6" w:rsidP="007A406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shape id="_x0000_s1049" type="#_x0000_t105" style="position:absolute;margin-left:145.2pt;margin-top:6pt;width:132.75pt;height:32.25pt;rotation:12789701fd;z-index:251671552"/>
        </w:pict>
      </w:r>
      <w:r w:rsidRPr="00892AC6">
        <w:rPr>
          <w:rFonts w:ascii="Times New Roman" w:hAnsi="Times New Roman" w:cs="Times New Roman"/>
          <w:b/>
          <w:i/>
          <w:noProof/>
          <w:sz w:val="32"/>
        </w:rPr>
        <w:pict>
          <v:shape id="_x0000_s1052" type="#_x0000_t105" style="position:absolute;margin-left:321.45pt;margin-top:9.75pt;width:132.75pt;height:32.25pt;rotation:10720590fd;z-index:251674624"/>
        </w:pict>
      </w:r>
      <w:r w:rsidR="007A406A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C78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616B8B" w:rsidRDefault="00616B8B" w:rsidP="00587F59">
      <w:pPr>
        <w:spacing w:after="0" w:line="0" w:lineRule="atLeast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C7833" w:rsidRPr="00C7121F" w:rsidRDefault="002C7833" w:rsidP="00587F59">
      <w:pPr>
        <w:spacing w:after="0" w:line="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093DF7" w:rsidRPr="00C7121F" w:rsidRDefault="00093DF7" w:rsidP="00587F59">
      <w:pPr>
        <w:spacing w:after="0" w:line="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093DF7" w:rsidRPr="00BE76D2" w:rsidRDefault="00093DF7" w:rsidP="002C783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BE76D2">
        <w:rPr>
          <w:rFonts w:ascii="Times New Roman" w:hAnsi="Times New Roman" w:cs="Times New Roman"/>
          <w:b/>
          <w:i/>
          <w:sz w:val="28"/>
          <w:szCs w:val="32"/>
          <w:lang w:val="uk-UA"/>
        </w:rPr>
        <w:t>Створення алгоритму ефективної роботи педагога в</w:t>
      </w:r>
    </w:p>
    <w:p w:rsidR="00093DF7" w:rsidRPr="00BE76D2" w:rsidRDefault="00093DF7" w:rsidP="002C7833">
      <w:pPr>
        <w:spacing w:after="0" w:line="0" w:lineRule="atLeast"/>
        <w:ind w:left="2832"/>
        <w:jc w:val="center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BE76D2">
        <w:rPr>
          <w:rFonts w:ascii="Times New Roman" w:hAnsi="Times New Roman" w:cs="Times New Roman"/>
          <w:b/>
          <w:i/>
          <w:sz w:val="28"/>
          <w:szCs w:val="32"/>
          <w:lang w:val="uk-UA"/>
        </w:rPr>
        <w:t>міжкурсовий період</w:t>
      </w:r>
    </w:p>
    <w:p w:rsidR="000B682E" w:rsidRPr="00D326DB" w:rsidRDefault="000B682E" w:rsidP="000B682E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B682E" w:rsidRDefault="000B682E" w:rsidP="000B682E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26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</w:t>
      </w:r>
    </w:p>
    <w:p w:rsidR="002C7833" w:rsidRDefault="002C7833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833" w:rsidRDefault="002C7833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82E" w:rsidRPr="00D326DB" w:rsidRDefault="000B682E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D0"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Підготовка</w:t>
      </w:r>
      <w:r w:rsidR="00E830D0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до підвищення кваліфікації:</w:t>
      </w:r>
    </w:p>
    <w:p w:rsidR="00E830D0" w:rsidRPr="00D326DB" w:rsidRDefault="00E830D0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-  визначення проблемної теми,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мети та завдань педагога.</w:t>
      </w:r>
    </w:p>
    <w:p w:rsidR="00E830D0" w:rsidRPr="00D326DB" w:rsidRDefault="00E830D0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Планування: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вироблення плану дій педагога:</w:t>
      </w:r>
    </w:p>
    <w:p w:rsidR="00E830D0" w:rsidRPr="00D326DB" w:rsidRDefault="00E830D0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-  вибір джерел та засобів збирання інформації;</w:t>
      </w:r>
    </w:p>
    <w:p w:rsidR="00E830D0" w:rsidRPr="00D326DB" w:rsidRDefault="00E830D0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-  вибір методів аналізу інформації;</w:t>
      </w:r>
    </w:p>
    <w:p w:rsidR="00E830D0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30D0" w:rsidRPr="00D326DB">
        <w:rPr>
          <w:rFonts w:ascii="Times New Roman" w:hAnsi="Times New Roman" w:cs="Times New Roman"/>
          <w:sz w:val="28"/>
          <w:szCs w:val="28"/>
          <w:lang w:val="uk-UA"/>
        </w:rPr>
        <w:t>-  визначення очікуваного результату.</w:t>
      </w:r>
    </w:p>
    <w:p w:rsidR="002E0F58" w:rsidRPr="00D326DB" w:rsidRDefault="002E0F58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E76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робота педагога над проблемою:</w:t>
      </w:r>
    </w:p>
    <w:p w:rsidR="002E0F58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0F58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-  аналіз джерел інформації;</w:t>
      </w:r>
    </w:p>
    <w:p w:rsidR="002E0F58" w:rsidRPr="00D326DB" w:rsidRDefault="002E0F58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-  обмін досвідом: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відкриті уроки,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виступи на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0F58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E0F58" w:rsidRPr="00D326DB">
        <w:rPr>
          <w:rFonts w:ascii="Times New Roman" w:hAnsi="Times New Roman" w:cs="Times New Roman"/>
          <w:sz w:val="28"/>
          <w:szCs w:val="28"/>
          <w:lang w:val="uk-UA"/>
        </w:rPr>
        <w:t>-  збирання інформації,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58" w:rsidRPr="00D326DB">
        <w:rPr>
          <w:rFonts w:ascii="Times New Roman" w:hAnsi="Times New Roman" w:cs="Times New Roman"/>
          <w:sz w:val="28"/>
          <w:szCs w:val="28"/>
          <w:lang w:val="uk-UA"/>
        </w:rPr>
        <w:t>її обробка;</w:t>
      </w:r>
    </w:p>
    <w:p w:rsidR="002E0F58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0F58" w:rsidRPr="00D326DB">
        <w:rPr>
          <w:rFonts w:ascii="Times New Roman" w:hAnsi="Times New Roman" w:cs="Times New Roman"/>
          <w:sz w:val="28"/>
          <w:szCs w:val="28"/>
          <w:lang w:val="uk-UA"/>
        </w:rPr>
        <w:t>-  курсова підготовка;</w:t>
      </w:r>
    </w:p>
    <w:p w:rsidR="000C0D0B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0D0B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0C0D0B" w:rsidRPr="00D326DB">
        <w:rPr>
          <w:rFonts w:ascii="Times New Roman" w:hAnsi="Times New Roman" w:cs="Times New Roman"/>
          <w:sz w:val="28"/>
          <w:szCs w:val="28"/>
          <w:lang w:val="uk-UA"/>
        </w:rPr>
        <w:t>посткурсова</w:t>
      </w:r>
      <w:proofErr w:type="spellEnd"/>
      <w:r w:rsidR="000C0D0B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робота: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D0B" w:rsidRPr="00D326DB">
        <w:rPr>
          <w:rFonts w:ascii="Times New Roman" w:hAnsi="Times New Roman" w:cs="Times New Roman"/>
          <w:sz w:val="28"/>
          <w:szCs w:val="28"/>
          <w:lang w:val="uk-UA"/>
        </w:rPr>
        <w:t>аналіз,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D0B" w:rsidRPr="00D326DB">
        <w:rPr>
          <w:rFonts w:ascii="Times New Roman" w:hAnsi="Times New Roman" w:cs="Times New Roman"/>
          <w:sz w:val="28"/>
          <w:szCs w:val="28"/>
          <w:lang w:val="uk-UA"/>
        </w:rPr>
        <w:t>систематизація інформації.</w:t>
      </w:r>
    </w:p>
    <w:p w:rsidR="000C0D0B" w:rsidRPr="00D326DB" w:rsidRDefault="000C0D0B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Застосування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набутих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практиці:</w:t>
      </w:r>
    </w:p>
    <w:p w:rsidR="00BD5D44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>-  реалізація проблеми в річних планах педагога;</w:t>
      </w:r>
    </w:p>
    <w:p w:rsidR="00BD5D44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-  виступи на методичних </w:t>
      </w:r>
      <w:proofErr w:type="spellStart"/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BD5D44" w:rsidRPr="00D326DB">
        <w:rPr>
          <w:rFonts w:ascii="Times New Roman" w:hAnsi="Times New Roman" w:cs="Times New Roman"/>
          <w:sz w:val="28"/>
          <w:szCs w:val="28"/>
        </w:rPr>
        <w:t>єднаннях</w:t>
      </w:r>
      <w:proofErr w:type="spellEnd"/>
      <w:r w:rsidR="00BD5D44" w:rsidRPr="00D32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5D44" w:rsidRPr="00D326DB">
        <w:rPr>
          <w:rFonts w:ascii="Times New Roman" w:hAnsi="Times New Roman" w:cs="Times New Roman"/>
          <w:sz w:val="28"/>
          <w:szCs w:val="28"/>
        </w:rPr>
        <w:t>педрадах</w:t>
      </w:r>
      <w:proofErr w:type="spellEnd"/>
      <w:r w:rsidR="00BD5D44" w:rsidRPr="00D326DB">
        <w:rPr>
          <w:rFonts w:ascii="Times New Roman" w:hAnsi="Times New Roman" w:cs="Times New Roman"/>
          <w:sz w:val="28"/>
          <w:szCs w:val="28"/>
        </w:rPr>
        <w:t>;</w:t>
      </w:r>
    </w:p>
    <w:p w:rsidR="00BD5D44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>-  участь у конкурсах-оглядах,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>конкурсі «Учитель року»;</w:t>
      </w:r>
    </w:p>
    <w:p w:rsidR="00BD5D44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-  участь у навчальних семінарах (міських,шкільних);</w:t>
      </w:r>
    </w:p>
    <w:p w:rsidR="00BD5D44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-  створення (участь) у творчих групах (міських,шкільних);</w:t>
      </w:r>
    </w:p>
    <w:p w:rsidR="00BD5D44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-  видання друкованих матеріалів у професійних журналах,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>збірках;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D44" w:rsidRPr="00D326DB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</w:p>
    <w:p w:rsidR="00BD5D44" w:rsidRPr="00D326DB" w:rsidRDefault="00BD5D44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   після курсового завдання;</w:t>
      </w:r>
    </w:p>
    <w:p w:rsidR="006D476D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аналіз навчальних досягнень учнів;</w:t>
      </w:r>
    </w:p>
    <w:p w:rsidR="006D476D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аналіз рівня формування компетентностей.</w:t>
      </w:r>
    </w:p>
    <w:p w:rsidR="006D476D" w:rsidRPr="00D326DB" w:rsidRDefault="006D476D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  <w:r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Завершення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роботи:</w:t>
      </w:r>
    </w:p>
    <w:p w:rsidR="006D476D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-  самооцінка процесу і результатів дослідження;</w:t>
      </w:r>
    </w:p>
    <w:p w:rsidR="006D476D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-  висновки;</w:t>
      </w:r>
    </w:p>
    <w:p w:rsidR="006D476D" w:rsidRPr="00D326DB" w:rsidRDefault="00BE76D2" w:rsidP="007F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-  оцінка </w:t>
      </w:r>
      <w:proofErr w:type="spellStart"/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методиста </w:t>
      </w:r>
      <w:proofErr w:type="spellStart"/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 w:rsidR="006D476D" w:rsidRPr="00D32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76D" w:rsidRPr="00D326DB" w:rsidRDefault="006D476D" w:rsidP="007F711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Відстеження</w:t>
      </w:r>
      <w:r w:rsidR="007F38E4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діяльності педагога в </w:t>
      </w:r>
      <w:proofErr w:type="spellStart"/>
      <w:r w:rsidR="007F38E4" w:rsidRPr="00D326DB"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 w:rsidR="007F38E4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період пропонується здійснювати </w:t>
      </w:r>
      <w:r w:rsidR="007F38E4"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шкалою активності</w:t>
      </w:r>
      <w:r w:rsidR="007F38E4" w:rsidRPr="00D326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За 1 рік педагог повинен набра</w:t>
      </w:r>
      <w:r w:rsidR="007F38E4" w:rsidRPr="00D326DB">
        <w:rPr>
          <w:rFonts w:ascii="Times New Roman" w:hAnsi="Times New Roman" w:cs="Times New Roman"/>
          <w:sz w:val="28"/>
          <w:szCs w:val="28"/>
          <w:lang w:val="uk-UA"/>
        </w:rPr>
        <w:t>ти певну кількість балів,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8E4" w:rsidRPr="00D326DB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8E4" w:rsidRPr="00D326DB">
        <w:rPr>
          <w:rFonts w:ascii="Times New Roman" w:hAnsi="Times New Roman" w:cs="Times New Roman"/>
          <w:sz w:val="28"/>
          <w:szCs w:val="28"/>
          <w:lang w:val="uk-UA"/>
        </w:rPr>
        <w:t>10-30 балів – це низький рівень,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8E4" w:rsidRPr="00D326DB">
        <w:rPr>
          <w:rFonts w:ascii="Times New Roman" w:hAnsi="Times New Roman" w:cs="Times New Roman"/>
          <w:sz w:val="28"/>
          <w:szCs w:val="28"/>
          <w:lang w:val="uk-UA"/>
        </w:rPr>
        <w:t>а 80 – 130 балів – високий.</w:t>
      </w:r>
    </w:p>
    <w:p w:rsidR="007F38E4" w:rsidRPr="00D326DB" w:rsidRDefault="007F38E4" w:rsidP="007F711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на рівні школи,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міста можна зібрати,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проаналізувати,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скільки вчителів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працює з низьким або високим рівнем активності.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з даної діаграми вид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но,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що 15% педагогів школи працює з низьким рівнем активності,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35 % - із середнім,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6DB">
        <w:rPr>
          <w:rFonts w:ascii="Times New Roman" w:hAnsi="Times New Roman" w:cs="Times New Roman"/>
          <w:sz w:val="28"/>
          <w:szCs w:val="28"/>
          <w:lang w:val="uk-UA"/>
        </w:rPr>
        <w:t>25 % - з достатнім і високим.</w:t>
      </w:r>
    </w:p>
    <w:p w:rsidR="00BE76D2" w:rsidRDefault="002B674D" w:rsidP="007F71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Керівнику </w:t>
      </w:r>
      <w:proofErr w:type="spellStart"/>
      <w:r w:rsidRPr="00D32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буде цікаво отримати таку інформацію для корекції </w:t>
      </w:r>
      <w:r w:rsidR="00BE76D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2C7833" w:rsidRDefault="00BE76D2" w:rsidP="007F71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B674D" w:rsidRPr="00D326DB">
        <w:rPr>
          <w:rFonts w:ascii="Times New Roman" w:hAnsi="Times New Roman" w:cs="Times New Roman"/>
          <w:sz w:val="28"/>
          <w:szCs w:val="28"/>
          <w:lang w:val="uk-UA"/>
        </w:rPr>
        <w:t>планів,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74D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proofErr w:type="spellStart"/>
      <w:r w:rsidR="002B674D" w:rsidRPr="00D32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2B674D" w:rsidRPr="00D326D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74D" w:rsidRPr="00D326DB">
        <w:rPr>
          <w:rFonts w:ascii="Times New Roman" w:hAnsi="Times New Roman" w:cs="Times New Roman"/>
          <w:sz w:val="28"/>
          <w:szCs w:val="28"/>
          <w:lang w:val="uk-UA"/>
        </w:rPr>
        <w:t>Методична служба міста може побачити</w:t>
      </w:r>
      <w:r w:rsidR="002C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74D" w:rsidRPr="00D326DB">
        <w:rPr>
          <w:rFonts w:ascii="Times New Roman" w:hAnsi="Times New Roman" w:cs="Times New Roman"/>
          <w:sz w:val="28"/>
          <w:szCs w:val="28"/>
          <w:lang w:val="uk-UA"/>
        </w:rPr>
        <w:t>вік,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74D" w:rsidRPr="00D326DB">
        <w:rPr>
          <w:rFonts w:ascii="Times New Roman" w:hAnsi="Times New Roman" w:cs="Times New Roman"/>
          <w:sz w:val="28"/>
          <w:szCs w:val="28"/>
          <w:lang w:val="uk-UA"/>
        </w:rPr>
        <w:t>предмет,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833" w:rsidRDefault="002C7833" w:rsidP="007F71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B674D" w:rsidRPr="00D326DB">
        <w:rPr>
          <w:rFonts w:ascii="Times New Roman" w:hAnsi="Times New Roman" w:cs="Times New Roman"/>
          <w:sz w:val="28"/>
          <w:szCs w:val="28"/>
          <w:lang w:val="uk-UA"/>
        </w:rPr>
        <w:t>кваліфікаційний рівень,</w:t>
      </w:r>
      <w:r w:rsidR="00A5664D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з низьким,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середнім рівнем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активності або,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833" w:rsidRDefault="002C7833" w:rsidP="007F71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навпаки,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з високим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рівнем.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І вже разом з </w:t>
      </w:r>
      <w:proofErr w:type="spellStart"/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навчальним закладом координувати,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833" w:rsidRDefault="002C7833" w:rsidP="007F71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планувати дії,спря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>мовані на виправлення ситуації. «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Шкал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активності» є гнучким </w:t>
      </w:r>
    </w:p>
    <w:p w:rsidR="002C7833" w:rsidRDefault="002C7833" w:rsidP="007F71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інструментом виміру,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бо кожне місто(район) може внести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неї зміни,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B674D" w:rsidRPr="00D326DB" w:rsidRDefault="002C7833" w:rsidP="007F71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максимальну,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>мінімальну кількість балів,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додати або вилучити </w:t>
      </w:r>
      <w:r w:rsidR="007F7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19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деякі форми роботи.     </w:t>
      </w:r>
      <w:r w:rsidR="00A5664D"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E0F58" w:rsidRPr="007F7113" w:rsidRDefault="002E0F58" w:rsidP="001F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F7113">
        <w:rPr>
          <w:rFonts w:ascii="Times New Roman" w:hAnsi="Times New Roman" w:cs="Times New Roman"/>
          <w:b/>
          <w:sz w:val="28"/>
          <w:szCs w:val="32"/>
          <w:lang w:val="uk-UA"/>
        </w:rPr>
        <w:lastRenderedPageBreak/>
        <w:t>Інструментарій відстеження результативності курсової підготовки</w:t>
      </w:r>
    </w:p>
    <w:p w:rsidR="002E0F58" w:rsidRPr="007F7113" w:rsidRDefault="00C13933" w:rsidP="001F5A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F7113">
        <w:rPr>
          <w:rFonts w:ascii="Times New Roman" w:hAnsi="Times New Roman" w:cs="Times New Roman"/>
          <w:b/>
          <w:sz w:val="28"/>
          <w:szCs w:val="32"/>
          <w:lang w:val="uk-UA"/>
        </w:rPr>
        <w:t>п</w:t>
      </w:r>
      <w:r w:rsidR="002E0F58" w:rsidRPr="007F7113">
        <w:rPr>
          <w:rFonts w:ascii="Times New Roman" w:hAnsi="Times New Roman" w:cs="Times New Roman"/>
          <w:b/>
          <w:sz w:val="28"/>
          <w:szCs w:val="32"/>
          <w:lang w:val="uk-UA"/>
        </w:rPr>
        <w:t>едкадрів</w:t>
      </w:r>
    </w:p>
    <w:p w:rsidR="007F7113" w:rsidRDefault="007F7113" w:rsidP="001F5AA7">
      <w:pPr>
        <w:spacing w:after="0" w:line="240" w:lineRule="auto"/>
        <w:ind w:left="708"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EC2" w:rsidRPr="00D326DB" w:rsidRDefault="00C13933" w:rsidP="001F5AA7">
      <w:pPr>
        <w:spacing w:after="0" w:line="240" w:lineRule="auto"/>
        <w:ind w:left="708"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6DB">
        <w:rPr>
          <w:rFonts w:ascii="Times New Roman" w:hAnsi="Times New Roman" w:cs="Times New Roman"/>
          <w:sz w:val="28"/>
          <w:szCs w:val="28"/>
          <w:lang w:val="uk-UA"/>
        </w:rPr>
        <w:t xml:space="preserve">Оцінка діяльності педагога в між курсовий період </w:t>
      </w:r>
      <w:r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шкалою активності педаг</w:t>
      </w:r>
      <w:r w:rsidR="004A4128" w:rsidRPr="00D326DB">
        <w:rPr>
          <w:rFonts w:ascii="Times New Roman" w:hAnsi="Times New Roman" w:cs="Times New Roman"/>
          <w:b/>
          <w:i/>
          <w:sz w:val="28"/>
          <w:szCs w:val="28"/>
          <w:lang w:val="uk-UA"/>
        </w:rPr>
        <w:t>ога:</w:t>
      </w:r>
    </w:p>
    <w:p w:rsidR="007F7113" w:rsidRDefault="007F7113" w:rsidP="001F5AA7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lang w:val="uk-UA"/>
        </w:rPr>
      </w:pPr>
      <w:r w:rsidRPr="008932A7">
        <w:rPr>
          <w:rFonts w:ascii="Times New Roman" w:hAnsi="Times New Roman" w:cs="Times New Roman"/>
          <w:sz w:val="28"/>
          <w:lang w:val="uk-UA"/>
        </w:rPr>
        <w:t>Діаграма</w:t>
      </w:r>
    </w:p>
    <w:p w:rsidR="007F7113" w:rsidRDefault="007F7113" w:rsidP="001F5AA7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8"/>
          <w:lang w:val="uk-UA"/>
        </w:rPr>
      </w:pPr>
      <w:r w:rsidRPr="008932A7">
        <w:rPr>
          <w:rFonts w:ascii="Times New Roman" w:hAnsi="Times New Roman" w:cs="Times New Roman"/>
          <w:b/>
          <w:sz w:val="28"/>
          <w:lang w:val="uk-UA"/>
        </w:rPr>
        <w:t>Результативність роботи школи</w:t>
      </w:r>
    </w:p>
    <w:p w:rsidR="007F7113" w:rsidRPr="008932A7" w:rsidRDefault="007F7113" w:rsidP="005175ED">
      <w:pPr>
        <w:outlineLvl w:val="0"/>
        <w:rPr>
          <w:rFonts w:ascii="Times New Roman" w:hAnsi="Times New Roman" w:cs="Times New Roman"/>
          <w:b/>
          <w:sz w:val="28"/>
          <w:lang w:val="uk-UA"/>
        </w:rPr>
      </w:pPr>
      <w:r w:rsidRPr="008932A7">
        <w:rPr>
          <w:rFonts w:ascii="Times New Roman" w:hAnsi="Times New Roman" w:cs="Times New Roman"/>
          <w:b/>
          <w:sz w:val="28"/>
          <w:lang w:val="uk-UA"/>
        </w:rPr>
        <w:t>Усього: 130 балів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</w:t>
      </w:r>
      <w:r w:rsidR="005175ED">
        <w:rPr>
          <w:rFonts w:ascii="Times New Roman" w:hAnsi="Times New Roman" w:cs="Times New Roman"/>
          <w:b/>
          <w:sz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362325" cy="17621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</w:t>
      </w:r>
    </w:p>
    <w:p w:rsidR="007F7113" w:rsidRDefault="00892AC6" w:rsidP="007F7113">
      <w:pPr>
        <w:tabs>
          <w:tab w:val="left" w:pos="5550"/>
        </w:tabs>
        <w:spacing w:line="240" w:lineRule="auto"/>
        <w:rPr>
          <w:rFonts w:ascii="Times New Roman" w:hAnsi="Times New Roman" w:cs="Times New Roman"/>
        </w:rPr>
      </w:pPr>
      <w:r w:rsidRPr="00892AC6">
        <w:rPr>
          <w:rFonts w:ascii="Times New Roman" w:hAnsi="Times New Roman" w:cs="Times New Roman"/>
          <w:noProof/>
        </w:rPr>
        <w:pict>
          <v:rect id="_x0000_s1028" style="position:absolute;margin-left:-.3pt;margin-top:1.8pt;width:153.75pt;height:50.35pt;z-index:251660288" fillcolor="white [3201]" strokecolor="black [3200]" strokeweight="2.5pt">
            <v:shadow color="#868686"/>
            <v:textbox>
              <w:txbxContent>
                <w:p w:rsidR="007F7113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8932A7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Зростання навчальних досягнень учнів</w:t>
                  </w:r>
                </w:p>
                <w:p w:rsidR="007F7113" w:rsidRPr="008932A7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932A7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20 балів</w:t>
                  </w:r>
                </w:p>
                <w:p w:rsidR="007F7113" w:rsidRPr="008932A7" w:rsidRDefault="007F7113" w:rsidP="007F711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7F7113">
        <w:rPr>
          <w:rFonts w:ascii="Times New Roman" w:hAnsi="Times New Roman" w:cs="Times New Roman"/>
        </w:rPr>
        <w:tab/>
      </w:r>
    </w:p>
    <w:p w:rsidR="007F7113" w:rsidRPr="000F143A" w:rsidRDefault="007F7113" w:rsidP="007F7113">
      <w:pPr>
        <w:rPr>
          <w:rFonts w:ascii="Times New Roman" w:hAnsi="Times New Roman" w:cs="Times New Roman"/>
        </w:rPr>
      </w:pPr>
    </w:p>
    <w:p w:rsidR="007F7113" w:rsidRPr="000F143A" w:rsidRDefault="00892AC6" w:rsidP="007F7113">
      <w:pPr>
        <w:rPr>
          <w:rFonts w:ascii="Times New Roman" w:hAnsi="Times New Roman" w:cs="Times New Roman"/>
        </w:rPr>
      </w:pPr>
      <w:r w:rsidRPr="00892AC6">
        <w:rPr>
          <w:rFonts w:ascii="Times New Roman" w:hAnsi="Times New Roman" w:cs="Times New Roman"/>
          <w:noProof/>
        </w:rPr>
        <w:pict>
          <v:rect id="_x0000_s1029" style="position:absolute;margin-left:-.3pt;margin-top:4.95pt;width:171pt;height:49.5pt;z-index:251661312" fillcolor="white [3201]" strokecolor="black [3200]" strokeweight="2.5pt">
            <v:shadow color="#868686"/>
            <v:textbox>
              <w:txbxContent>
                <w:p w:rsidR="007F7113" w:rsidRPr="008932A7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8932A7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Друковані матеріали в професійних виданнях</w:t>
                  </w:r>
                </w:p>
                <w:p w:rsidR="007F7113" w:rsidRPr="008932A7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932A7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20 балів</w:t>
                  </w:r>
                </w:p>
              </w:txbxContent>
            </v:textbox>
          </v:rect>
        </w:pict>
      </w:r>
    </w:p>
    <w:p w:rsidR="007F7113" w:rsidRPr="000F143A" w:rsidRDefault="007F7113" w:rsidP="007F7113">
      <w:pPr>
        <w:rPr>
          <w:rFonts w:ascii="Times New Roman" w:hAnsi="Times New Roman" w:cs="Times New Roman"/>
        </w:rPr>
      </w:pPr>
    </w:p>
    <w:p w:rsidR="007F7113" w:rsidRPr="000F143A" w:rsidRDefault="00892AC6" w:rsidP="007F7113">
      <w:pPr>
        <w:rPr>
          <w:rFonts w:ascii="Times New Roman" w:hAnsi="Times New Roman" w:cs="Times New Roman"/>
        </w:rPr>
      </w:pPr>
      <w:r w:rsidRPr="00892AC6">
        <w:rPr>
          <w:rFonts w:ascii="Times New Roman" w:hAnsi="Times New Roman" w:cs="Times New Roman"/>
          <w:noProof/>
        </w:rPr>
        <w:pict>
          <v:rect id="_x0000_s1030" style="position:absolute;margin-left:-.3pt;margin-top:5.35pt;width:188.25pt;height:50.25pt;z-index:251662336" fillcolor="white [3201]" strokecolor="black [3200]" strokeweight="2.5pt">
            <v:shadow color="#868686"/>
            <v:textbox>
              <w:txbxContent>
                <w:p w:rsidR="007F7113" w:rsidRPr="008932A7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8932A7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Створення (участь) творчих груп (міських, шкільних)</w:t>
                  </w:r>
                </w:p>
                <w:p w:rsidR="007F7113" w:rsidRPr="008932A7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932A7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20 балів (15 балів)</w:t>
                  </w:r>
                </w:p>
              </w:txbxContent>
            </v:textbox>
          </v:rect>
        </w:pict>
      </w:r>
    </w:p>
    <w:p w:rsidR="007F7113" w:rsidRPr="000F143A" w:rsidRDefault="007F7113" w:rsidP="007F7113">
      <w:pPr>
        <w:rPr>
          <w:rFonts w:ascii="Times New Roman" w:hAnsi="Times New Roman" w:cs="Times New Roman"/>
        </w:rPr>
      </w:pPr>
    </w:p>
    <w:p w:rsidR="007F7113" w:rsidRPr="000F143A" w:rsidRDefault="00892AC6" w:rsidP="007F7113">
      <w:pPr>
        <w:rPr>
          <w:rFonts w:ascii="Times New Roman" w:hAnsi="Times New Roman" w:cs="Times New Roman"/>
        </w:rPr>
      </w:pPr>
      <w:r w:rsidRPr="00892AC6">
        <w:rPr>
          <w:rFonts w:ascii="Times New Roman" w:hAnsi="Times New Roman" w:cs="Times New Roman"/>
          <w:noProof/>
        </w:rPr>
        <w:pict>
          <v:rect id="_x0000_s1031" style="position:absolute;margin-left:-.3pt;margin-top:6.5pt;width:207.75pt;height:49.5pt;z-index:251663360" fillcolor="white [3201]" strokecolor="black [3200]" strokeweight="2.5pt">
            <v:shadow color="#868686"/>
            <v:textbox>
              <w:txbxContent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Проведення навчальних міських (шкільних) семінарів</w:t>
                  </w:r>
                </w:p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20 балів (15 балів)</w:t>
                  </w:r>
                </w:p>
              </w:txbxContent>
            </v:textbox>
          </v:rect>
        </w:pict>
      </w:r>
    </w:p>
    <w:p w:rsidR="007F7113" w:rsidRPr="000F143A" w:rsidRDefault="007F7113" w:rsidP="007F7113">
      <w:pPr>
        <w:rPr>
          <w:rFonts w:ascii="Times New Roman" w:hAnsi="Times New Roman" w:cs="Times New Roman"/>
        </w:rPr>
      </w:pPr>
    </w:p>
    <w:p w:rsidR="007F7113" w:rsidRPr="000F143A" w:rsidRDefault="00892AC6" w:rsidP="007F7113">
      <w:pPr>
        <w:rPr>
          <w:rFonts w:ascii="Times New Roman" w:hAnsi="Times New Roman" w:cs="Times New Roman"/>
        </w:rPr>
      </w:pPr>
      <w:r w:rsidRPr="00892AC6">
        <w:rPr>
          <w:rFonts w:ascii="Times New Roman" w:hAnsi="Times New Roman" w:cs="Times New Roman"/>
          <w:noProof/>
        </w:rPr>
        <w:pict>
          <v:rect id="_x0000_s1032" style="position:absolute;margin-left:-.3pt;margin-top:6.9pt;width:233.25pt;height:49.5pt;z-index:251664384" fillcolor="white [3201]" strokecolor="black [3200]" strokeweight="2.5pt">
            <v:shadow color="#868686"/>
            <v:textbox>
              <w:txbxContent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Участь у конкурсах «Учитель року», інших конкурсах</w:t>
                  </w:r>
                </w:p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20 балів</w:t>
                  </w:r>
                </w:p>
              </w:txbxContent>
            </v:textbox>
          </v:rect>
        </w:pict>
      </w:r>
    </w:p>
    <w:p w:rsidR="007F7113" w:rsidRPr="000F143A" w:rsidRDefault="007F7113" w:rsidP="007F7113">
      <w:pPr>
        <w:rPr>
          <w:rFonts w:ascii="Times New Roman" w:hAnsi="Times New Roman" w:cs="Times New Roman"/>
        </w:rPr>
      </w:pPr>
    </w:p>
    <w:p w:rsidR="007F7113" w:rsidRPr="000F143A" w:rsidRDefault="00892AC6" w:rsidP="007F7113">
      <w:pPr>
        <w:rPr>
          <w:rFonts w:ascii="Times New Roman" w:hAnsi="Times New Roman" w:cs="Times New Roman"/>
        </w:rPr>
      </w:pPr>
      <w:r w:rsidRPr="00892AC6">
        <w:rPr>
          <w:rFonts w:ascii="Times New Roman" w:hAnsi="Times New Roman" w:cs="Times New Roman"/>
          <w:noProof/>
        </w:rPr>
        <w:pict>
          <v:rect id="_x0000_s1033" style="position:absolute;margin-left:-.3pt;margin-top:7.3pt;width:255.75pt;height:36pt;z-index:251665408" fillcolor="white [3201]" strokecolor="black [3200]" strokeweight="2.5pt">
            <v:shadow color="#868686"/>
            <v:textbox>
              <w:txbxContent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Виступи на педагогічних радах</w:t>
                  </w:r>
                </w:p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10 балів</w:t>
                  </w:r>
                </w:p>
              </w:txbxContent>
            </v:textbox>
          </v:rect>
        </w:pict>
      </w:r>
    </w:p>
    <w:p w:rsidR="007F7113" w:rsidRPr="000F143A" w:rsidRDefault="00892AC6" w:rsidP="007F7113">
      <w:pPr>
        <w:rPr>
          <w:rFonts w:ascii="Times New Roman" w:hAnsi="Times New Roman" w:cs="Times New Roman"/>
        </w:rPr>
      </w:pPr>
      <w:r w:rsidRPr="00892AC6">
        <w:rPr>
          <w:rFonts w:ascii="Times New Roman" w:hAnsi="Times New Roman" w:cs="Times New Roman"/>
          <w:noProof/>
        </w:rPr>
        <w:pict>
          <v:rect id="_x0000_s1034" style="position:absolute;margin-left:-.3pt;margin-top:18.75pt;width:278.25pt;height:36pt;z-index:251666432" fillcolor="white [3201]" strokecolor="black [3200]" strokeweight="2.5pt">
            <v:shadow color="#868686"/>
            <v:textbox>
              <w:txbxContent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Виступи на 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методичних об’єднаннях</w:t>
                  </w:r>
                </w:p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10 балів</w:t>
                  </w:r>
                </w:p>
              </w:txbxContent>
            </v:textbox>
          </v:rect>
        </w:pict>
      </w:r>
    </w:p>
    <w:p w:rsidR="007F7113" w:rsidRPr="000F143A" w:rsidRDefault="007F7113" w:rsidP="007F7113">
      <w:pPr>
        <w:rPr>
          <w:rFonts w:ascii="Times New Roman" w:hAnsi="Times New Roman" w:cs="Times New Roman"/>
        </w:rPr>
      </w:pPr>
    </w:p>
    <w:p w:rsidR="007F7113" w:rsidRDefault="00892AC6" w:rsidP="007F7113">
      <w:pPr>
        <w:rPr>
          <w:rFonts w:ascii="Times New Roman" w:hAnsi="Times New Roman" w:cs="Times New Roman"/>
        </w:rPr>
      </w:pPr>
      <w:r w:rsidRPr="00892AC6">
        <w:rPr>
          <w:rFonts w:ascii="Times New Roman" w:hAnsi="Times New Roman" w:cs="Times New Roman"/>
          <w:noProof/>
        </w:rPr>
        <w:pict>
          <v:rect id="_x0000_s1035" style="position:absolute;margin-left:-.3pt;margin-top:5.65pt;width:300pt;height:36pt;z-index:251667456" fillcolor="white [3201]" strokecolor="black [3200]" strokeweight="2.5pt">
            <v:shadow color="#868686"/>
            <v:textbox>
              <w:txbxContent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Реалізація проблеми в річних планах педагога</w:t>
                  </w:r>
                </w:p>
                <w:p w:rsidR="007F7113" w:rsidRPr="000F143A" w:rsidRDefault="007F7113" w:rsidP="007F7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0F143A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10 балів</w:t>
                  </w:r>
                </w:p>
              </w:txbxContent>
            </v:textbox>
          </v:rect>
        </w:pict>
      </w:r>
    </w:p>
    <w:p w:rsidR="007F7113" w:rsidRDefault="007F7113" w:rsidP="007F71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F7113" w:rsidRDefault="007F7113" w:rsidP="007F71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F7113" w:rsidRPr="000F143A" w:rsidRDefault="007F7113" w:rsidP="001F5A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F143A">
        <w:rPr>
          <w:rFonts w:ascii="Times New Roman" w:hAnsi="Times New Roman" w:cs="Times New Roman"/>
          <w:sz w:val="28"/>
          <w:lang w:val="uk-UA"/>
        </w:rPr>
        <w:t>Низький рівень – 10-30 балів.</w:t>
      </w:r>
    </w:p>
    <w:p w:rsidR="007F7113" w:rsidRPr="000F143A" w:rsidRDefault="007F7113" w:rsidP="001F5A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F143A">
        <w:rPr>
          <w:rFonts w:ascii="Times New Roman" w:hAnsi="Times New Roman" w:cs="Times New Roman"/>
          <w:sz w:val="28"/>
          <w:lang w:val="uk-UA"/>
        </w:rPr>
        <w:t>Середній рівень – 30-50 балів.</w:t>
      </w:r>
    </w:p>
    <w:p w:rsidR="007F7113" w:rsidRPr="000F143A" w:rsidRDefault="007F7113" w:rsidP="001F5A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F143A">
        <w:rPr>
          <w:rFonts w:ascii="Times New Roman" w:hAnsi="Times New Roman" w:cs="Times New Roman"/>
          <w:sz w:val="28"/>
          <w:lang w:val="uk-UA"/>
        </w:rPr>
        <w:t>Достатній рівень – 50-80 балів.</w:t>
      </w:r>
    </w:p>
    <w:p w:rsidR="007F7113" w:rsidRDefault="007F7113" w:rsidP="001F5A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F143A">
        <w:rPr>
          <w:rFonts w:ascii="Times New Roman" w:hAnsi="Times New Roman" w:cs="Times New Roman"/>
          <w:sz w:val="28"/>
          <w:lang w:val="uk-UA"/>
        </w:rPr>
        <w:t>Високий рівень – 80-130 балів.</w:t>
      </w:r>
    </w:p>
    <w:p w:rsidR="001F5AA7" w:rsidRDefault="001F5AA7" w:rsidP="001F5A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F5AA7" w:rsidRPr="001F5AA7" w:rsidRDefault="001F5AA7" w:rsidP="001F5A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AA7">
        <w:rPr>
          <w:rFonts w:ascii="Times New Roman" w:hAnsi="Times New Roman" w:cs="Times New Roman"/>
          <w:b/>
          <w:i/>
          <w:sz w:val="28"/>
          <w:lang w:val="uk-UA"/>
        </w:rPr>
        <w:t>Методист з навчальних дисциплін ММК                                                    Г.Ф.Пелішенко</w:t>
      </w:r>
    </w:p>
    <w:sectPr w:rsidR="001F5AA7" w:rsidRPr="001F5AA7" w:rsidSect="00171A80">
      <w:pgSz w:w="11906" w:h="16838"/>
      <w:pgMar w:top="113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33" w:rsidRDefault="002C7833" w:rsidP="002C7833">
      <w:pPr>
        <w:spacing w:after="0" w:line="240" w:lineRule="auto"/>
      </w:pPr>
      <w:r>
        <w:separator/>
      </w:r>
    </w:p>
  </w:endnote>
  <w:endnote w:type="continuationSeparator" w:id="1">
    <w:p w:rsidR="002C7833" w:rsidRDefault="002C7833" w:rsidP="002C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33" w:rsidRDefault="002C7833" w:rsidP="002C7833">
      <w:pPr>
        <w:spacing w:after="0" w:line="240" w:lineRule="auto"/>
      </w:pPr>
      <w:r>
        <w:separator/>
      </w:r>
    </w:p>
  </w:footnote>
  <w:footnote w:type="continuationSeparator" w:id="1">
    <w:p w:rsidR="002C7833" w:rsidRDefault="002C7833" w:rsidP="002C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0E1B"/>
    <w:multiLevelType w:val="hybridMultilevel"/>
    <w:tmpl w:val="3D9AA698"/>
    <w:lvl w:ilvl="0" w:tplc="0B6A6752">
      <w:numFmt w:val="bullet"/>
      <w:lvlText w:val="-"/>
      <w:lvlJc w:val="left"/>
      <w:pPr>
        <w:ind w:left="168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6B"/>
    <w:rsid w:val="00093DF7"/>
    <w:rsid w:val="000B588D"/>
    <w:rsid w:val="000B682E"/>
    <w:rsid w:val="000C0D0B"/>
    <w:rsid w:val="001050D2"/>
    <w:rsid w:val="001477C9"/>
    <w:rsid w:val="00171A80"/>
    <w:rsid w:val="001F5AA7"/>
    <w:rsid w:val="001F6C51"/>
    <w:rsid w:val="00251FF3"/>
    <w:rsid w:val="00287C0B"/>
    <w:rsid w:val="002B674D"/>
    <w:rsid w:val="002C7833"/>
    <w:rsid w:val="002E0A93"/>
    <w:rsid w:val="002E0F58"/>
    <w:rsid w:val="003B4F3D"/>
    <w:rsid w:val="003C198F"/>
    <w:rsid w:val="003E184D"/>
    <w:rsid w:val="00431143"/>
    <w:rsid w:val="004A4128"/>
    <w:rsid w:val="004C4BFB"/>
    <w:rsid w:val="00502E7A"/>
    <w:rsid w:val="005175ED"/>
    <w:rsid w:val="0057707D"/>
    <w:rsid w:val="00587F59"/>
    <w:rsid w:val="005A1699"/>
    <w:rsid w:val="005A3D2C"/>
    <w:rsid w:val="005B16AC"/>
    <w:rsid w:val="005F6611"/>
    <w:rsid w:val="00605DC4"/>
    <w:rsid w:val="00616B8B"/>
    <w:rsid w:val="00640E0F"/>
    <w:rsid w:val="00646556"/>
    <w:rsid w:val="00653FC2"/>
    <w:rsid w:val="006D476D"/>
    <w:rsid w:val="007643DF"/>
    <w:rsid w:val="007A406A"/>
    <w:rsid w:val="007F38E4"/>
    <w:rsid w:val="007F7113"/>
    <w:rsid w:val="00892AC6"/>
    <w:rsid w:val="008976E4"/>
    <w:rsid w:val="009D0872"/>
    <w:rsid w:val="00A43719"/>
    <w:rsid w:val="00A5664D"/>
    <w:rsid w:val="00AC5279"/>
    <w:rsid w:val="00B138F4"/>
    <w:rsid w:val="00BC3439"/>
    <w:rsid w:val="00BD5D44"/>
    <w:rsid w:val="00BE76D2"/>
    <w:rsid w:val="00C02922"/>
    <w:rsid w:val="00C13933"/>
    <w:rsid w:val="00C7121F"/>
    <w:rsid w:val="00CF2EC2"/>
    <w:rsid w:val="00D13B6A"/>
    <w:rsid w:val="00D326DB"/>
    <w:rsid w:val="00D61663"/>
    <w:rsid w:val="00E30C4B"/>
    <w:rsid w:val="00E32119"/>
    <w:rsid w:val="00E5066B"/>
    <w:rsid w:val="00E830D0"/>
    <w:rsid w:val="00F530DA"/>
    <w:rsid w:val="00F578A3"/>
    <w:rsid w:val="00F8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833"/>
  </w:style>
  <w:style w:type="paragraph" w:styleId="a8">
    <w:name w:val="footer"/>
    <w:basedOn w:val="a"/>
    <w:link w:val="a9"/>
    <w:uiPriority w:val="99"/>
    <w:semiHidden/>
    <w:unhideWhenUsed/>
    <w:rsid w:val="002C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7.7195999148755148E-2"/>
          <c:w val="1"/>
          <c:h val="0.80748868553592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bg1">
                  <a:lumMod val="65000"/>
                </a:scheme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2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3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3.2090889488672367E-3"/>
                  <c:y val="-3.267929346669516E-2"/>
                </c:manualLayout>
              </c:layout>
              <c:showPercent val="1"/>
            </c:dLbl>
            <c:dLbl>
              <c:idx val="1"/>
              <c:layout>
                <c:manualLayout>
                  <c:x val="-1.1768047407671775E-2"/>
                  <c:y val="5.1870894516563813E-2"/>
                </c:manualLayout>
              </c:layout>
              <c:showPercent val="1"/>
            </c:dLbl>
            <c:dLbl>
              <c:idx val="2"/>
              <c:layout>
                <c:manualLayout>
                  <c:x val="6.4310879635343543E-2"/>
                  <c:y val="4.0473859686458065E-3"/>
                </c:manualLayout>
              </c:layout>
              <c:showPercent val="1"/>
            </c:dLbl>
            <c:dLbl>
              <c:idx val="3"/>
              <c:layout>
                <c:manualLayout>
                  <c:x val="4.8959574104228507E-2"/>
                  <c:y val="-6.2605660778889086E-2"/>
                </c:manualLayout>
              </c:layout>
              <c:showPercent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C460-8418-4F80-B516-5A532B6F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37</cp:revision>
  <cp:lastPrinted>2015-02-25T08:39:00Z</cp:lastPrinted>
  <dcterms:created xsi:type="dcterms:W3CDTF">2015-02-20T09:35:00Z</dcterms:created>
  <dcterms:modified xsi:type="dcterms:W3CDTF">2015-02-25T08:39:00Z</dcterms:modified>
</cp:coreProperties>
</file>